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73E1E92D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r w:rsidR="00DC20D6">
        <w:rPr>
          <w:b/>
        </w:rPr>
        <w:t>April 2023.godine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7376A028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 KJP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br.02-</w:t>
      </w:r>
      <w:r w:rsidR="00DC20D6">
        <w:rPr>
          <w:rFonts w:ascii="Arial" w:hAnsi="Arial" w:cs="Arial"/>
          <w:sz w:val="20"/>
          <w:szCs w:val="20"/>
        </w:rPr>
        <w:t>70/2023 od 24.04.2023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DC20D6">
        <w:rPr>
          <w:rFonts w:ascii="Arial" w:hAnsi="Arial" w:cs="Arial"/>
          <w:bCs/>
          <w:sz w:val="20"/>
          <w:szCs w:val="20"/>
        </w:rPr>
        <w:t>24.04.2023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1DF9F40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DF5F12D" w14:textId="19B9F657" w:rsidR="009C5E2E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neodređeno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vrijeme</w:t>
      </w:r>
      <w:proofErr w:type="spellEnd"/>
      <w:r w:rsidR="00DC20D6">
        <w:rPr>
          <w:rFonts w:ascii="Arial" w:hAnsi="Arial" w:cs="Arial"/>
          <w:sz w:val="20"/>
          <w:szCs w:val="20"/>
        </w:rPr>
        <w:t>,</w:t>
      </w:r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saglasnostima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r w:rsidR="00DC20D6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02-04-2765-22/23 od 02.02.2023. godine i 02-04-8837-10/23 od 06.04.2023.godine</w:t>
      </w:r>
      <w:r w:rsidR="00DC20D6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B013F35" w14:textId="77777777" w:rsidR="00DC20D6" w:rsidRPr="00E348F7" w:rsidRDefault="00DC20D6" w:rsidP="00DD5408">
      <w:pPr>
        <w:jc w:val="both"/>
        <w:rPr>
          <w:rFonts w:ascii="Arial" w:hAnsi="Arial" w:cs="Arial"/>
          <w:sz w:val="20"/>
          <w:szCs w:val="20"/>
        </w:rPr>
      </w:pPr>
    </w:p>
    <w:p w14:paraId="7D4407BA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Službenik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za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javne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nabavke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VSS- 1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35E9580B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Rukovodilac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veterinarske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stanice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VSS- 1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53E36002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15250260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Magacioner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SSS- 1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bookmarkEnd w:id="0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54E7078A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15251249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Veterinarski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tehničar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SSS- 1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3E1918AB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Mehaničar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za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poljoprivredne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mašine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63D4224C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Čistač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u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štalama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NK- 2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dva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izvršioca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bookmarkEnd w:id="1"/>
    <w:p w14:paraId="4F79C23D" w14:textId="77777777" w:rsidR="00FF5EA5" w:rsidRPr="00FF5EA5" w:rsidRDefault="00FF5EA5" w:rsidP="00FF5EA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1D75D5" w14:textId="77777777" w:rsidR="00DD5408" w:rsidRPr="00E348F7" w:rsidRDefault="00DD5408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7AF105C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438C977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42407F85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FAC">
        <w:rPr>
          <w:rFonts w:ascii="Arial" w:hAnsi="Arial" w:cs="Arial"/>
          <w:sz w:val="20"/>
          <w:szCs w:val="20"/>
        </w:rPr>
        <w:t>n</w:t>
      </w:r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D6D0E55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BCBA3B9" w14:textId="651F6785" w:rsidR="004359CD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0D34345" w14:textId="43C85B66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8672DC5" w14:textId="2953E271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E54F009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lastRenderedPageBreak/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5044EFC2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istom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stručnom</w:t>
      </w:r>
      <w:proofErr w:type="spellEnd"/>
      <w:r w:rsidR="0067436D">
        <w:rPr>
          <w:rFonts w:ascii="Arial" w:hAnsi="Arial" w:cs="Arial"/>
          <w:sz w:val="20"/>
          <w:szCs w:val="20"/>
        </w:rPr>
        <w:t xml:space="preserve"> (VSS)</w:t>
      </w:r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spremom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traži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kandidata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čiji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će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biti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objavljen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javni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oglas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2E78988E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od toga koji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ispiti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bili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obuhvaćeni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procesom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izbora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;</w:t>
      </w:r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1412F82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3AB538A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1C604AAE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28EC38D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735FBCB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04B9ED5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405ADB3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06BECF21" w14:textId="501941FF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3A36116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</w:t>
      </w:r>
      <w:r w:rsidR="00A2184E">
        <w:rPr>
          <w:rFonts w:ascii="Arial" w:hAnsi="Arial" w:cs="Arial"/>
          <w:sz w:val="20"/>
          <w:szCs w:val="20"/>
        </w:rPr>
        <w:t>đ</w:t>
      </w:r>
      <w:r w:rsidRPr="00E348F7">
        <w:rPr>
          <w:rFonts w:ascii="Arial" w:hAnsi="Arial" w:cs="Arial"/>
          <w:sz w:val="20"/>
          <w:szCs w:val="20"/>
        </w:rPr>
        <w:t>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4746BF76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lastRenderedPageBreak/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7B99CC3" w14:textId="27C3D13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Za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pozicij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="00A2184E">
        <w:rPr>
          <w:rFonts w:ascii="Arial" w:hAnsi="Arial" w:cs="Arial"/>
          <w:sz w:val="20"/>
          <w:szCs w:val="20"/>
        </w:rPr>
        <w:t xml:space="preserve"> od</w:t>
      </w:r>
      <w:r w:rsidR="00152772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>1</w:t>
      </w:r>
      <w:r w:rsidR="00A2184E">
        <w:rPr>
          <w:rFonts w:ascii="Arial" w:hAnsi="Arial" w:cs="Arial"/>
          <w:sz w:val="20"/>
          <w:szCs w:val="20"/>
        </w:rPr>
        <w:t xml:space="preserve">-5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pismena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, a za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poziciju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r w:rsidR="005F1D3C">
        <w:rPr>
          <w:rFonts w:ascii="Arial" w:hAnsi="Arial" w:cs="Arial"/>
          <w:sz w:val="20"/>
          <w:szCs w:val="20"/>
        </w:rPr>
        <w:t>6.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samo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>.</w:t>
      </w:r>
    </w:p>
    <w:p w14:paraId="56BFDD40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15.10.1991.godine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15.04.1992.godine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284264B6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25653CF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1BF6406B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3E6BC19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7C5CCD5E" w14:textId="51121991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15E231B3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Pismeni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19966FD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</w:p>
    <w:p w14:paraId="1510ABEA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, koji se </w:t>
      </w:r>
      <w:proofErr w:type="spellStart"/>
      <w:r>
        <w:rPr>
          <w:rFonts w:ascii="Arial" w:hAnsi="Arial" w:cs="Arial"/>
          <w:sz w:val="20"/>
          <w:szCs w:val="20"/>
        </w:rPr>
        <w:t>pohranjuje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zatvorene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zapečećene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koverte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9FE5BB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</w:p>
    <w:p w14:paraId="003D19D8" w14:textId="6C3C274B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bookmarkStart w:id="2" w:name="_Hlk133308339"/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52772">
        <w:rPr>
          <w:rFonts w:ascii="Arial" w:hAnsi="Arial" w:cs="Arial"/>
          <w:sz w:val="20"/>
          <w:szCs w:val="20"/>
        </w:rPr>
        <w:t>poziciju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66A70">
        <w:rPr>
          <w:rFonts w:ascii="Arial" w:hAnsi="Arial" w:cs="Arial"/>
          <w:sz w:val="20"/>
          <w:szCs w:val="20"/>
        </w:rPr>
        <w:t>četrnaest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javnih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nabavki</w:t>
      </w:r>
      <w:proofErr w:type="spellEnd"/>
      <w:r w:rsidR="001E2C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podzakonskih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akata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="00152772">
        <w:rPr>
          <w:rFonts w:ascii="Arial" w:hAnsi="Arial" w:cs="Arial"/>
          <w:sz w:val="20"/>
          <w:szCs w:val="20"/>
        </w:rPr>
        <w:t>regulišu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materiju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CCF">
        <w:rPr>
          <w:rFonts w:ascii="Arial" w:hAnsi="Arial" w:cs="Arial"/>
          <w:sz w:val="20"/>
          <w:szCs w:val="20"/>
        </w:rPr>
        <w:t>javnih</w:t>
      </w:r>
      <w:proofErr w:type="spellEnd"/>
      <w:r w:rsidR="001E2C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CCF">
        <w:rPr>
          <w:rFonts w:ascii="Arial" w:hAnsi="Arial" w:cs="Arial"/>
          <w:sz w:val="20"/>
          <w:szCs w:val="20"/>
        </w:rPr>
        <w:t>nabavki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</w:t>
      </w:r>
      <w:r w:rsidR="00E66A70">
        <w:rPr>
          <w:rFonts w:ascii="Arial" w:hAnsi="Arial" w:cs="Arial"/>
          <w:sz w:val="20"/>
          <w:szCs w:val="20"/>
        </w:rPr>
        <w:t>ova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bookmarkEnd w:id="2"/>
    <w:p w14:paraId="09619121" w14:textId="77777777" w:rsidR="001E2CCF" w:rsidRDefault="001E2CCF" w:rsidP="00E348F7">
      <w:pPr>
        <w:jc w:val="both"/>
        <w:rPr>
          <w:rFonts w:ascii="Arial" w:hAnsi="Arial" w:cs="Arial"/>
          <w:sz w:val="20"/>
          <w:szCs w:val="20"/>
        </w:rPr>
      </w:pPr>
    </w:p>
    <w:p w14:paraId="457178C4" w14:textId="4A8BBD0B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bookmarkStart w:id="3" w:name="_Hlk133308399"/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14 (</w:t>
      </w:r>
      <w:proofErr w:type="spellStart"/>
      <w:r>
        <w:rPr>
          <w:rFonts w:ascii="Arial" w:hAnsi="Arial" w:cs="Arial"/>
          <w:sz w:val="20"/>
          <w:szCs w:val="20"/>
        </w:rPr>
        <w:t>četrnaest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veterinarstva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podzakonskih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regulišu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veterinarstva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>.</w:t>
      </w:r>
      <w:bookmarkEnd w:id="3"/>
    </w:p>
    <w:p w14:paraId="4AD093D2" w14:textId="7F067159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(4) </w:t>
      </w:r>
      <w:bookmarkStart w:id="4" w:name="_Hlk133308603"/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računovodstva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podzakonskih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regulišu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računovodstva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načina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skladištenja</w:t>
      </w:r>
      <w:proofErr w:type="spellEnd"/>
      <w:r>
        <w:rPr>
          <w:rFonts w:ascii="Arial" w:hAnsi="Arial" w:cs="Arial"/>
          <w:sz w:val="20"/>
          <w:szCs w:val="20"/>
        </w:rPr>
        <w:t xml:space="preserve"> robe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 xml:space="preserve">, 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>.</w:t>
      </w:r>
      <w:bookmarkEnd w:id="4"/>
    </w:p>
    <w:p w14:paraId="2A486134" w14:textId="77777777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</w:p>
    <w:p w14:paraId="00F65131" w14:textId="6725B3F2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10 (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regulišu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veterinarstva</w:t>
      </w:r>
      <w:proofErr w:type="spellEnd"/>
      <w:r>
        <w:rPr>
          <w:rFonts w:ascii="Arial" w:hAnsi="Arial" w:cs="Arial"/>
          <w:sz w:val="20"/>
          <w:szCs w:val="20"/>
        </w:rPr>
        <w:t xml:space="preserve">, 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DB3A91" w14:textId="77777777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</w:p>
    <w:p w14:paraId="108A81F4" w14:textId="65501014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10 (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 koji </w:t>
      </w:r>
      <w:proofErr w:type="spellStart"/>
      <w:r>
        <w:rPr>
          <w:rFonts w:ascii="Arial" w:hAnsi="Arial" w:cs="Arial"/>
          <w:sz w:val="20"/>
          <w:szCs w:val="20"/>
        </w:rPr>
        <w:t>regulišu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mehaničara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odnosa</w:t>
      </w:r>
      <w:proofErr w:type="spellEnd"/>
      <w:r>
        <w:rPr>
          <w:rFonts w:ascii="Arial" w:hAnsi="Arial" w:cs="Arial"/>
          <w:sz w:val="20"/>
          <w:szCs w:val="20"/>
        </w:rPr>
        <w:t xml:space="preserve">, 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EEEF00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74538533" w14:textId="4B5CAA41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277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e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od</w:t>
      </w:r>
      <w:r w:rsidR="00152772">
        <w:rPr>
          <w:rFonts w:ascii="Arial" w:hAnsi="Arial" w:cs="Arial"/>
          <w:sz w:val="20"/>
          <w:szCs w:val="20"/>
        </w:rPr>
        <w:t xml:space="preserve"> 1</w:t>
      </w:r>
      <w:r w:rsidR="00660F67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iznosi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7</w:t>
      </w:r>
      <w:r w:rsidR="00152772">
        <w:rPr>
          <w:rFonts w:ascii="Arial" w:hAnsi="Arial" w:cs="Arial"/>
          <w:sz w:val="20"/>
          <w:szCs w:val="20"/>
        </w:rPr>
        <w:t>0</w:t>
      </w:r>
      <w:r w:rsidR="00AF3BC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3BC2">
        <w:rPr>
          <w:rFonts w:ascii="Arial" w:hAnsi="Arial" w:cs="Arial"/>
          <w:sz w:val="20"/>
          <w:szCs w:val="20"/>
        </w:rPr>
        <w:t>sedamdeset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F3BC2">
        <w:rPr>
          <w:rFonts w:ascii="Arial" w:hAnsi="Arial" w:cs="Arial"/>
          <w:sz w:val="20"/>
          <w:szCs w:val="20"/>
        </w:rPr>
        <w:t>bodova</w:t>
      </w:r>
      <w:proofErr w:type="spellEnd"/>
      <w:r w:rsidR="00AF3BC2">
        <w:rPr>
          <w:rFonts w:ascii="Arial" w:hAnsi="Arial" w:cs="Arial"/>
          <w:sz w:val="20"/>
          <w:szCs w:val="20"/>
        </w:rPr>
        <w:t>.</w:t>
      </w:r>
    </w:p>
    <w:p w14:paraId="4329EA31" w14:textId="77777777" w:rsidR="00AF3BC2" w:rsidRDefault="00AF3BC2" w:rsidP="00A21B55">
      <w:pPr>
        <w:jc w:val="both"/>
        <w:rPr>
          <w:rFonts w:ascii="Arial" w:hAnsi="Arial" w:cs="Arial"/>
          <w:sz w:val="20"/>
          <w:szCs w:val="20"/>
        </w:rPr>
      </w:pPr>
    </w:p>
    <w:p w14:paraId="3A0A2C99" w14:textId="3B273B33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Pismen</w:t>
      </w:r>
      <w:r w:rsidR="00AF3BC2">
        <w:rPr>
          <w:rFonts w:ascii="Arial" w:hAnsi="Arial" w:cs="Arial"/>
          <w:sz w:val="20"/>
          <w:szCs w:val="20"/>
        </w:rPr>
        <w:t>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ispit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provjere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znanja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traje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3EA5A2B4" w14:textId="0355B8FE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e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od</w:t>
      </w:r>
      <w:r w:rsidR="00E66A70">
        <w:rPr>
          <w:rFonts w:ascii="Arial" w:hAnsi="Arial" w:cs="Arial"/>
          <w:sz w:val="20"/>
          <w:szCs w:val="20"/>
        </w:rPr>
        <w:t xml:space="preserve"> 1</w:t>
      </w:r>
      <w:r w:rsidR="00660F67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setom</w:t>
      </w:r>
      <w:proofErr w:type="spellEnd"/>
      <w:r>
        <w:rPr>
          <w:rFonts w:ascii="Arial" w:hAnsi="Arial" w:cs="Arial"/>
          <w:sz w:val="20"/>
          <w:szCs w:val="20"/>
        </w:rPr>
        <w:t xml:space="preserve"> od 6 </w:t>
      </w:r>
      <w:proofErr w:type="spellStart"/>
      <w:r>
        <w:rPr>
          <w:rFonts w:ascii="Arial" w:hAnsi="Arial" w:cs="Arial"/>
          <w:sz w:val="20"/>
          <w:szCs w:val="20"/>
        </w:rPr>
        <w:t>pitanja.Svako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najviše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bodova.Prvo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sljedećih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izvlačiti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odnositi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će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66A70">
        <w:rPr>
          <w:rFonts w:ascii="Arial" w:hAnsi="Arial" w:cs="Arial"/>
          <w:sz w:val="20"/>
          <w:szCs w:val="20"/>
        </w:rPr>
        <w:t>na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stručni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dio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6B3B8DD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66BD8E4E" w14:textId="708D609E" w:rsidR="000D4FAA" w:rsidRDefault="000D4FAA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u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r w:rsidR="00660F67">
        <w:rPr>
          <w:rFonts w:ascii="Arial" w:hAnsi="Arial" w:cs="Arial"/>
          <w:sz w:val="20"/>
          <w:szCs w:val="20"/>
        </w:rPr>
        <w:t>6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5BD55426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e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od</w:t>
      </w:r>
      <w:r>
        <w:rPr>
          <w:rFonts w:ascii="Arial" w:hAnsi="Arial" w:cs="Arial"/>
          <w:sz w:val="20"/>
          <w:szCs w:val="20"/>
        </w:rPr>
        <w:t xml:space="preserve"> 1</w:t>
      </w:r>
      <w:r w:rsidR="00660F67">
        <w:rPr>
          <w:rFonts w:ascii="Arial" w:hAnsi="Arial" w:cs="Arial"/>
          <w:sz w:val="20"/>
          <w:szCs w:val="20"/>
        </w:rPr>
        <w:t>-5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iznosi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60F6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14C243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206D75A2" w14:textId="77777777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77777777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22.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98E9F9" w14:textId="77777777" w:rsidR="00660F67" w:rsidRDefault="00660F67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7E23861B" w14:textId="220A2E24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367F32B1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Nermina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Krdžević-Sarač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predsjednik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0454D11A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Ćosović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25B24">
        <w:rPr>
          <w:rFonts w:ascii="Arial" w:hAnsi="Arial" w:cs="Arial"/>
          <w:sz w:val="20"/>
          <w:szCs w:val="20"/>
        </w:rPr>
        <w:t>Broj:02-</w:t>
      </w:r>
      <w:r>
        <w:rPr>
          <w:rFonts w:ascii="Arial" w:hAnsi="Arial" w:cs="Arial"/>
          <w:sz w:val="20"/>
          <w:szCs w:val="20"/>
        </w:rPr>
        <w:t>71/2023</w:t>
      </w:r>
    </w:p>
    <w:p w14:paraId="4B3FEFE3" w14:textId="26551EC9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Amra </w:t>
      </w:r>
      <w:proofErr w:type="spellStart"/>
      <w:r>
        <w:rPr>
          <w:rFonts w:ascii="Arial" w:hAnsi="Arial" w:cs="Arial"/>
          <w:sz w:val="20"/>
          <w:szCs w:val="20"/>
        </w:rPr>
        <w:t>Mulaosmanović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  Datum, </w:t>
      </w:r>
      <w:r>
        <w:rPr>
          <w:rFonts w:ascii="Arial" w:hAnsi="Arial" w:cs="Arial"/>
          <w:sz w:val="20"/>
          <w:szCs w:val="20"/>
        </w:rPr>
        <w:t>24.04.2023</w:t>
      </w:r>
      <w:r w:rsidR="00325B24">
        <w:rPr>
          <w:rFonts w:ascii="Arial" w:hAnsi="Arial" w:cs="Arial"/>
          <w:sz w:val="20"/>
          <w:szCs w:val="20"/>
        </w:rPr>
        <w:t xml:space="preserve">.godine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B1BB" w14:textId="77777777" w:rsidR="00CD5B03" w:rsidRDefault="00CD5B03" w:rsidP="00AA5DA6">
      <w:r>
        <w:separator/>
      </w:r>
    </w:p>
  </w:endnote>
  <w:endnote w:type="continuationSeparator" w:id="0">
    <w:p w14:paraId="1D3182CD" w14:textId="77777777" w:rsidR="00CD5B03" w:rsidRDefault="00CD5B03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849D" w14:textId="77777777" w:rsidR="00CD5B03" w:rsidRDefault="00CD5B03" w:rsidP="00AA5DA6">
      <w:r>
        <w:separator/>
      </w:r>
    </w:p>
  </w:footnote>
  <w:footnote w:type="continuationSeparator" w:id="0">
    <w:p w14:paraId="3CC832B0" w14:textId="77777777" w:rsidR="00CD5B03" w:rsidRDefault="00CD5B03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2"/>
  </w:num>
  <w:num w:numId="14" w16cid:durableId="784738427">
    <w:abstractNumId w:val="13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8"/>
  </w:num>
  <w:num w:numId="18" w16cid:durableId="320893321">
    <w:abstractNumId w:val="10"/>
  </w:num>
  <w:num w:numId="19" w16cid:durableId="1223710315">
    <w:abstractNumId w:val="21"/>
  </w:num>
  <w:num w:numId="20" w16cid:durableId="637537542">
    <w:abstractNumId w:val="17"/>
  </w:num>
  <w:num w:numId="21" w16cid:durableId="1185096661">
    <w:abstractNumId w:val="14"/>
  </w:num>
  <w:num w:numId="22" w16cid:durableId="1454178317">
    <w:abstractNumId w:val="19"/>
  </w:num>
  <w:num w:numId="23" w16cid:durableId="346834262">
    <w:abstractNumId w:val="16"/>
  </w:num>
  <w:num w:numId="24" w16cid:durableId="1340696083">
    <w:abstractNumId w:val="24"/>
  </w:num>
  <w:num w:numId="25" w16cid:durableId="387193602">
    <w:abstractNumId w:val="5"/>
  </w:num>
  <w:num w:numId="26" w16cid:durableId="8566530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3F9F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CCF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1D3C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0F67"/>
    <w:rsid w:val="006618CD"/>
    <w:rsid w:val="0066313F"/>
    <w:rsid w:val="00663950"/>
    <w:rsid w:val="00664B7A"/>
    <w:rsid w:val="00671DB3"/>
    <w:rsid w:val="0067436D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6CB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84E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1FA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D5B03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0D6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15790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4</cp:revision>
  <cp:lastPrinted>2022-10-05T09:35:00Z</cp:lastPrinted>
  <dcterms:created xsi:type="dcterms:W3CDTF">2023-04-24T12:11:00Z</dcterms:created>
  <dcterms:modified xsi:type="dcterms:W3CDTF">2023-04-25T07:56:00Z</dcterms:modified>
</cp:coreProperties>
</file>